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13" w:rsidRDefault="00DC2B13"/>
    <w:p w:rsidR="00E44D86" w:rsidRPr="00E44D86" w:rsidRDefault="00E44D86" w:rsidP="00E44D86">
      <w:pPr>
        <w:jc w:val="center"/>
        <w:rPr>
          <w:rFonts w:ascii="Arial" w:hAnsi="Arial" w:cs="Arial"/>
          <w:b/>
          <w:sz w:val="24"/>
          <w:szCs w:val="24"/>
        </w:rPr>
      </w:pPr>
      <w:r w:rsidRPr="00E44D86">
        <w:rPr>
          <w:rFonts w:ascii="Arial" w:hAnsi="Arial" w:cs="Arial"/>
          <w:b/>
          <w:sz w:val="24"/>
          <w:szCs w:val="24"/>
        </w:rPr>
        <w:t xml:space="preserve">ANAYTICAL METHODS – </w:t>
      </w:r>
      <w:proofErr w:type="spellStart"/>
      <w:r w:rsidRPr="00E44D86">
        <w:rPr>
          <w:rFonts w:ascii="Arial" w:hAnsi="Arial" w:cs="Arial"/>
          <w:b/>
          <w:sz w:val="24"/>
          <w:szCs w:val="24"/>
        </w:rPr>
        <w:t>JiangXi</w:t>
      </w:r>
      <w:proofErr w:type="spellEnd"/>
      <w:r w:rsidRPr="00E44D86">
        <w:rPr>
          <w:rFonts w:ascii="Arial" w:hAnsi="Arial" w:cs="Arial"/>
          <w:b/>
          <w:sz w:val="24"/>
          <w:szCs w:val="24"/>
        </w:rPr>
        <w:t xml:space="preserve"> Jung Yun Non-ferrous Geological Test Ltd Co</w:t>
      </w:r>
    </w:p>
    <w:p w:rsidR="00E44D86" w:rsidRDefault="00E44D86" w:rsidP="00E44D86">
      <w:pPr>
        <w:spacing w:after="120" w:line="360" w:lineRule="auto"/>
        <w:rPr>
          <w:rFonts w:ascii="Arial" w:hAnsi="Arial" w:cs="Arial"/>
          <w:sz w:val="24"/>
          <w:szCs w:val="24"/>
        </w:rPr>
      </w:pPr>
      <w:r>
        <w:rPr>
          <w:rFonts w:ascii="Arial" w:hAnsi="Arial" w:cs="Arial"/>
          <w:sz w:val="24"/>
          <w:szCs w:val="24"/>
        </w:rPr>
        <w:t xml:space="preserve">During air core drilling sand and sandy loam samples were retrieved from each meter interval and store in double polythene bags. All these samples were shipped to China for assay by </w:t>
      </w:r>
      <w:proofErr w:type="spellStart"/>
      <w:proofErr w:type="gramStart"/>
      <w:r>
        <w:rPr>
          <w:rFonts w:ascii="Arial" w:hAnsi="Arial" w:cs="Arial"/>
          <w:sz w:val="24"/>
          <w:szCs w:val="24"/>
        </w:rPr>
        <w:t>JiangXi</w:t>
      </w:r>
      <w:proofErr w:type="spellEnd"/>
      <w:proofErr w:type="gramEnd"/>
      <w:r>
        <w:rPr>
          <w:rFonts w:ascii="Arial" w:hAnsi="Arial" w:cs="Arial"/>
          <w:sz w:val="24"/>
          <w:szCs w:val="24"/>
        </w:rPr>
        <w:t xml:space="preserve"> Jung Yun Non-ferrous Geological Test Ltd Co, </w:t>
      </w:r>
      <w:r w:rsidRPr="00E44D86">
        <w:rPr>
          <w:rFonts w:ascii="Arial" w:hAnsi="Arial" w:cs="Arial"/>
          <w:sz w:val="24"/>
          <w:szCs w:val="24"/>
        </w:rPr>
        <w:t xml:space="preserve">Tong Zhan Road 14, </w:t>
      </w:r>
      <w:proofErr w:type="spellStart"/>
      <w:r w:rsidRPr="00E44D86">
        <w:rPr>
          <w:rFonts w:ascii="Arial" w:hAnsi="Arial" w:cs="Arial"/>
          <w:sz w:val="24"/>
          <w:szCs w:val="24"/>
        </w:rPr>
        <w:t>Xiangtong</w:t>
      </w:r>
      <w:proofErr w:type="spellEnd"/>
      <w:r w:rsidRPr="00E44D86">
        <w:rPr>
          <w:rFonts w:ascii="Arial" w:hAnsi="Arial" w:cs="Arial"/>
          <w:sz w:val="24"/>
          <w:szCs w:val="24"/>
        </w:rPr>
        <w:t xml:space="preserve"> County Nanchang Jiangxi </w:t>
      </w:r>
      <w:proofErr w:type="spellStart"/>
      <w:r w:rsidRPr="00E44D86">
        <w:rPr>
          <w:rFonts w:ascii="Arial" w:hAnsi="Arial" w:cs="Arial"/>
          <w:sz w:val="24"/>
          <w:szCs w:val="24"/>
        </w:rPr>
        <w:t>Chian</w:t>
      </w:r>
      <w:proofErr w:type="spellEnd"/>
      <w:r w:rsidRPr="00E44D86">
        <w:rPr>
          <w:rFonts w:ascii="Arial" w:hAnsi="Arial" w:cs="Arial"/>
          <w:sz w:val="24"/>
          <w:szCs w:val="24"/>
        </w:rPr>
        <w:t xml:space="preserve"> 330201</w:t>
      </w:r>
      <w:r>
        <w:rPr>
          <w:rFonts w:ascii="Arial" w:hAnsi="Arial" w:cs="Arial"/>
          <w:sz w:val="24"/>
          <w:szCs w:val="24"/>
        </w:rPr>
        <w:t>.</w:t>
      </w:r>
    </w:p>
    <w:p w:rsidR="00E44D86" w:rsidRPr="00E44D86" w:rsidRDefault="00E44D86" w:rsidP="00E44D86">
      <w:pPr>
        <w:spacing w:after="120" w:line="240" w:lineRule="auto"/>
        <w:rPr>
          <w:rFonts w:ascii="Arial" w:hAnsi="Arial" w:cs="Arial"/>
          <w:sz w:val="24"/>
          <w:szCs w:val="24"/>
        </w:rPr>
      </w:pPr>
      <w:r w:rsidRPr="00E44D86">
        <w:rPr>
          <w:rFonts w:ascii="Arial" w:hAnsi="Arial" w:cs="Arial"/>
          <w:b/>
          <w:sz w:val="24"/>
          <w:szCs w:val="24"/>
        </w:rPr>
        <w:t>Sample Crushing and Grinding:</w:t>
      </w:r>
      <w:r w:rsidRPr="00E44D86">
        <w:rPr>
          <w:rFonts w:ascii="Arial" w:hAnsi="Arial" w:cs="Arial"/>
          <w:sz w:val="24"/>
          <w:szCs w:val="24"/>
        </w:rPr>
        <w:t xml:space="preserve"> </w:t>
      </w:r>
    </w:p>
    <w:p w:rsidR="00E44D86" w:rsidRPr="00E44D86" w:rsidRDefault="00E44D86" w:rsidP="00E44D86">
      <w:pPr>
        <w:spacing w:after="120" w:line="360" w:lineRule="auto"/>
        <w:rPr>
          <w:rFonts w:ascii="Arial" w:hAnsi="Arial" w:cs="Arial"/>
          <w:sz w:val="24"/>
          <w:szCs w:val="24"/>
        </w:rPr>
      </w:pPr>
      <w:r w:rsidRPr="00E44D86">
        <w:rPr>
          <w:rFonts w:ascii="Arial" w:hAnsi="Arial" w:cs="Arial"/>
          <w:sz w:val="24"/>
          <w:szCs w:val="24"/>
        </w:rPr>
        <w:t>All the samples were sorted and dried in aluminum trays to removed moisture. Up to 3 kg sand</w:t>
      </w:r>
      <w:r>
        <w:rPr>
          <w:rFonts w:ascii="Arial" w:hAnsi="Arial" w:cs="Arial"/>
          <w:sz w:val="24"/>
          <w:szCs w:val="24"/>
        </w:rPr>
        <w:t>/sandy loam</w:t>
      </w:r>
      <w:r w:rsidRPr="00E44D86">
        <w:rPr>
          <w:rFonts w:ascii="Arial" w:hAnsi="Arial" w:cs="Arial"/>
          <w:sz w:val="24"/>
          <w:szCs w:val="24"/>
        </w:rPr>
        <w:t xml:space="preserve"> samples were crushed and grounded to better than 90% of the sample passing 2 mm. Standard preparation for samples where a representative split will be </w:t>
      </w:r>
      <w:proofErr w:type="spellStart"/>
      <w:r w:rsidRPr="00E44D86">
        <w:rPr>
          <w:rFonts w:ascii="Arial" w:hAnsi="Arial" w:cs="Arial"/>
          <w:sz w:val="24"/>
          <w:szCs w:val="24"/>
        </w:rPr>
        <w:t>pulverised</w:t>
      </w:r>
      <w:proofErr w:type="spellEnd"/>
      <w:r w:rsidRPr="00E44D86">
        <w:rPr>
          <w:rFonts w:ascii="Arial" w:hAnsi="Arial" w:cs="Arial"/>
          <w:sz w:val="24"/>
          <w:szCs w:val="24"/>
        </w:rPr>
        <w:t>.</w:t>
      </w:r>
    </w:p>
    <w:p w:rsidR="00E44D86" w:rsidRPr="00E44D86" w:rsidRDefault="00E44D86" w:rsidP="00E44D86">
      <w:pPr>
        <w:spacing w:after="120" w:line="240" w:lineRule="auto"/>
        <w:rPr>
          <w:rFonts w:ascii="Arial" w:hAnsi="Arial" w:cs="Arial"/>
          <w:b/>
          <w:sz w:val="24"/>
          <w:szCs w:val="24"/>
        </w:rPr>
      </w:pPr>
      <w:r w:rsidRPr="00E44D86">
        <w:rPr>
          <w:rFonts w:ascii="Arial" w:hAnsi="Arial" w:cs="Arial"/>
          <w:b/>
          <w:sz w:val="24"/>
          <w:szCs w:val="24"/>
        </w:rPr>
        <w:t>Sample Preparation</w:t>
      </w:r>
      <w:r w:rsidR="00BD20DA">
        <w:rPr>
          <w:rFonts w:ascii="Arial" w:hAnsi="Arial" w:cs="Arial"/>
          <w:b/>
          <w:sz w:val="24"/>
          <w:szCs w:val="24"/>
        </w:rPr>
        <w:t xml:space="preserve"> and Assay</w:t>
      </w:r>
      <w:r w:rsidRPr="00E44D86">
        <w:rPr>
          <w:rFonts w:ascii="Arial" w:hAnsi="Arial" w:cs="Arial"/>
          <w:b/>
          <w:sz w:val="24"/>
          <w:szCs w:val="24"/>
        </w:rPr>
        <w:t>:</w:t>
      </w:r>
    </w:p>
    <w:p w:rsidR="00BD20DA" w:rsidRDefault="00E44D86" w:rsidP="00E44D86">
      <w:pPr>
        <w:spacing w:after="120" w:line="360" w:lineRule="auto"/>
        <w:rPr>
          <w:rFonts w:ascii="Arial" w:hAnsi="Arial" w:cs="Arial"/>
          <w:sz w:val="24"/>
          <w:szCs w:val="24"/>
        </w:rPr>
      </w:pPr>
      <w:r w:rsidRPr="00E44D86">
        <w:rPr>
          <w:rFonts w:ascii="Arial" w:hAnsi="Arial" w:cs="Arial"/>
          <w:sz w:val="24"/>
          <w:szCs w:val="24"/>
        </w:rPr>
        <w:t>An aliquot of sample is accurately weighed and fused with lithium meta-borate at high temperature in a Pt crucible. The fused glass is then digested in nitric acid. This process provides complete dissolution of most minerals including silicates. Volatile elements are lost at the high fusion temperatures.</w:t>
      </w:r>
      <w:r w:rsidR="007F48C8">
        <w:rPr>
          <w:rFonts w:ascii="Arial" w:hAnsi="Arial" w:cs="Arial"/>
          <w:sz w:val="24"/>
          <w:szCs w:val="24"/>
        </w:rPr>
        <w:t xml:space="preserve"> </w:t>
      </w:r>
      <w:r w:rsidRPr="00E44D86">
        <w:rPr>
          <w:rFonts w:ascii="Arial" w:hAnsi="Arial" w:cs="Arial"/>
          <w:sz w:val="24"/>
          <w:szCs w:val="24"/>
        </w:rPr>
        <w:t xml:space="preserve"> </w:t>
      </w:r>
      <w:r w:rsidR="007F48C8" w:rsidRPr="007F48C8">
        <w:rPr>
          <w:rFonts w:ascii="Arial" w:hAnsi="Arial" w:cs="Arial"/>
          <w:sz w:val="24"/>
          <w:szCs w:val="24"/>
        </w:rPr>
        <w:t>This solution is then analyzed by inductively coupled plasma - mass spectrometry.</w:t>
      </w:r>
      <w:r w:rsidRPr="00E44D86">
        <w:rPr>
          <w:rFonts w:ascii="Arial" w:hAnsi="Arial" w:cs="Arial"/>
          <w:sz w:val="24"/>
          <w:szCs w:val="24"/>
        </w:rPr>
        <w:t xml:space="preserve"> </w:t>
      </w:r>
      <w:r w:rsidR="00AA32D6">
        <w:rPr>
          <w:rFonts w:ascii="Arial" w:hAnsi="Arial" w:cs="Arial"/>
          <w:sz w:val="24"/>
          <w:szCs w:val="24"/>
        </w:rPr>
        <w:t>All assayed</w:t>
      </w:r>
      <w:bookmarkStart w:id="0" w:name="_GoBack"/>
      <w:bookmarkEnd w:id="0"/>
      <w:r w:rsidRPr="00E44D86">
        <w:rPr>
          <w:rFonts w:ascii="Arial" w:hAnsi="Arial" w:cs="Arial"/>
          <w:sz w:val="24"/>
          <w:szCs w:val="24"/>
        </w:rPr>
        <w:t xml:space="preserve"> elements are reported as </w:t>
      </w:r>
      <w:r w:rsidR="00D95B95">
        <w:rPr>
          <w:rFonts w:ascii="Arial" w:hAnsi="Arial" w:cs="Arial"/>
          <w:sz w:val="24"/>
          <w:szCs w:val="24"/>
        </w:rPr>
        <w:t>ppm</w:t>
      </w:r>
    </w:p>
    <w:p w:rsidR="00E44D86" w:rsidRDefault="00BD20DA" w:rsidP="00E44D86">
      <w:pPr>
        <w:spacing w:after="120" w:line="360" w:lineRule="auto"/>
        <w:rPr>
          <w:rFonts w:ascii="Arial" w:hAnsi="Arial" w:cs="Arial"/>
          <w:sz w:val="24"/>
          <w:szCs w:val="24"/>
        </w:rPr>
      </w:pPr>
      <w:r w:rsidRPr="00BD20DA">
        <w:rPr>
          <w:rFonts w:ascii="Arial" w:hAnsi="Arial" w:cs="Arial"/>
          <w:sz w:val="24"/>
          <w:szCs w:val="24"/>
        </w:rPr>
        <w:t>Detection limits of REE are given in Table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84"/>
        <w:gridCol w:w="1042"/>
        <w:gridCol w:w="808"/>
        <w:gridCol w:w="904"/>
        <w:gridCol w:w="912"/>
      </w:tblGrid>
      <w:tr w:rsidR="00BD20DA" w:rsidRPr="00BD20DA" w:rsidTr="00E628D4">
        <w:trPr>
          <w:tblHeader/>
          <w:jc w:val="center"/>
        </w:trPr>
        <w:tc>
          <w:tcPr>
            <w:tcW w:w="0" w:type="auto"/>
            <w:tcBorders>
              <w:top w:val="single" w:sz="12" w:space="0" w:color="auto"/>
              <w:bottom w:val="single" w:sz="12" w:space="0" w:color="auto"/>
            </w:tcBorders>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b/>
              </w:rPr>
            </w:pPr>
            <w:r w:rsidRPr="00BD20DA">
              <w:rPr>
                <w:rFonts w:ascii="Lucida Sans" w:eastAsia="Times New Roman" w:hAnsi="Lucida Sans" w:cs="Times New Roman"/>
                <w:b/>
              </w:rPr>
              <w:t>Element</w:t>
            </w:r>
          </w:p>
        </w:tc>
        <w:tc>
          <w:tcPr>
            <w:tcW w:w="0" w:type="auto"/>
            <w:tcBorders>
              <w:top w:val="single" w:sz="12" w:space="0" w:color="auto"/>
              <w:bottom w:val="single" w:sz="12" w:space="0" w:color="auto"/>
            </w:tcBorders>
            <w:vAlign w:val="center"/>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b/>
              </w:rPr>
            </w:pPr>
            <w:r w:rsidRPr="00BD20DA">
              <w:rPr>
                <w:rFonts w:ascii="Lucida Sans" w:eastAsia="Times New Roman" w:hAnsi="Lucida Sans" w:cs="Times New Roman"/>
                <w:b/>
              </w:rPr>
              <w:t>Symbol</w:t>
            </w:r>
          </w:p>
        </w:tc>
        <w:tc>
          <w:tcPr>
            <w:tcW w:w="0" w:type="auto"/>
            <w:tcBorders>
              <w:top w:val="single" w:sz="12" w:space="0" w:color="auto"/>
              <w:bottom w:val="single" w:sz="12" w:space="0" w:color="auto"/>
            </w:tcBorders>
            <w:vAlign w:val="center"/>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b/>
              </w:rPr>
            </w:pPr>
            <w:r w:rsidRPr="00BD20DA">
              <w:rPr>
                <w:rFonts w:ascii="Lucida Sans" w:eastAsia="Times New Roman" w:hAnsi="Lucida Sans" w:cs="Times New Roman"/>
                <w:b/>
              </w:rPr>
              <w:t>Units</w:t>
            </w:r>
          </w:p>
        </w:tc>
        <w:tc>
          <w:tcPr>
            <w:tcW w:w="0" w:type="auto"/>
            <w:tcBorders>
              <w:top w:val="single" w:sz="12" w:space="0" w:color="auto"/>
              <w:bottom w:val="single" w:sz="12" w:space="0" w:color="auto"/>
            </w:tcBorders>
            <w:vAlign w:val="center"/>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b/>
              </w:rPr>
            </w:pPr>
            <w:r w:rsidRPr="00BD20DA">
              <w:rPr>
                <w:rFonts w:ascii="Lucida Sans" w:eastAsia="Times New Roman" w:hAnsi="Lucida Sans" w:cs="Times New Roman"/>
                <w:b/>
              </w:rPr>
              <w:t>Lower</w:t>
            </w:r>
          </w:p>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b/>
              </w:rPr>
            </w:pPr>
            <w:r w:rsidRPr="00BD20DA">
              <w:rPr>
                <w:rFonts w:ascii="Lucida Sans" w:eastAsia="Times New Roman" w:hAnsi="Lucida Sans" w:cs="Times New Roman"/>
                <w:b/>
              </w:rPr>
              <w:t>Limit</w:t>
            </w:r>
          </w:p>
        </w:tc>
        <w:tc>
          <w:tcPr>
            <w:tcW w:w="0" w:type="auto"/>
            <w:tcBorders>
              <w:top w:val="single" w:sz="12" w:space="0" w:color="auto"/>
              <w:bottom w:val="single" w:sz="12" w:space="0" w:color="auto"/>
            </w:tcBorders>
            <w:vAlign w:val="center"/>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b/>
              </w:rPr>
            </w:pPr>
            <w:r w:rsidRPr="00BD20DA">
              <w:rPr>
                <w:rFonts w:ascii="Lucida Sans" w:eastAsia="Times New Roman" w:hAnsi="Lucida Sans" w:cs="Times New Roman"/>
                <w:b/>
              </w:rPr>
              <w:t>Upper</w:t>
            </w:r>
          </w:p>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b/>
              </w:rPr>
            </w:pPr>
            <w:r w:rsidRPr="00BD20DA">
              <w:rPr>
                <w:rFonts w:ascii="Lucida Sans" w:eastAsia="Times New Roman" w:hAnsi="Lucida Sans" w:cs="Times New Roman"/>
                <w:b/>
              </w:rPr>
              <w:t>Limit</w:t>
            </w:r>
          </w:p>
        </w:tc>
      </w:tr>
      <w:tr w:rsidR="00BD20DA" w:rsidRPr="00BD20DA" w:rsidTr="00E628D4">
        <w:trPr>
          <w:jc w:val="center"/>
        </w:trPr>
        <w:tc>
          <w:tcPr>
            <w:tcW w:w="0" w:type="auto"/>
            <w:tcBorders>
              <w:top w:val="single" w:sz="12" w:space="0" w:color="auto"/>
            </w:tcBorders>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Cerium</w:t>
            </w:r>
          </w:p>
        </w:tc>
        <w:tc>
          <w:tcPr>
            <w:tcW w:w="0" w:type="auto"/>
            <w:tcBorders>
              <w:top w:val="single" w:sz="12" w:space="0" w:color="auto"/>
            </w:tcBorders>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Ce</w:t>
            </w:r>
          </w:p>
        </w:tc>
        <w:tc>
          <w:tcPr>
            <w:tcW w:w="0" w:type="auto"/>
            <w:tcBorders>
              <w:top w:val="single" w:sz="12" w:space="0" w:color="auto"/>
            </w:tcBorders>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tcBorders>
              <w:top w:val="single" w:sz="12" w:space="0" w:color="auto"/>
            </w:tcBorders>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3</w:t>
            </w:r>
          </w:p>
        </w:tc>
        <w:tc>
          <w:tcPr>
            <w:tcW w:w="0" w:type="auto"/>
            <w:tcBorders>
              <w:top w:val="single" w:sz="12" w:space="0" w:color="auto"/>
            </w:tcBorders>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Dysprosium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Dy</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0.3</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Erbium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Er</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0.2</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Europium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Eu</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0.2</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Gadolinium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Gd</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0.3</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Hafnium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Hf</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1</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Holmium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Ho</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0.05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Lanthanum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La</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3</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Lutetium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Lu</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0.05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Niobium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Nb</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1</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lastRenderedPageBreak/>
              <w:t>Neodymium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Nd</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Praseodymium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Pr</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0.2</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Rubidium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Rb</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1</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Samarium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Sm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0.2</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Tin</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Sn</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Tantalum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Ta</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Terbium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Tb</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0.05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Thorium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Th</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0.3</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Thulium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Tm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0.05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Uranium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U</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0.3</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Tungsten</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W</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Yttrium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Y</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3</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Ytterbium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proofErr w:type="spellStart"/>
            <w:r w:rsidRPr="00BD20DA">
              <w:rPr>
                <w:rFonts w:ascii="Lucida Sans" w:eastAsia="Times New Roman" w:hAnsi="Lucida Sans" w:cs="Times New Roman"/>
              </w:rPr>
              <w:t>Yb</w:t>
            </w:r>
            <w:proofErr w:type="spellEnd"/>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0.2</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w:t>
            </w:r>
          </w:p>
        </w:tc>
      </w:tr>
      <w:tr w:rsidR="00BD20DA" w:rsidRPr="00BD20DA" w:rsidTr="00E628D4">
        <w:trPr>
          <w:jc w:val="center"/>
        </w:trPr>
        <w:tc>
          <w:tcPr>
            <w:tcW w:w="0" w:type="auto"/>
            <w:vAlign w:val="center"/>
          </w:tcPr>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r w:rsidRPr="00BD20DA">
              <w:rPr>
                <w:rFonts w:ascii="Lucida Sans" w:eastAsia="Times New Roman" w:hAnsi="Lucida Sans" w:cs="Times New Roman"/>
              </w:rPr>
              <w:t>Zirconium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Zr</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ppm</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10</w:t>
            </w:r>
          </w:p>
        </w:tc>
        <w:tc>
          <w:tcPr>
            <w:tcW w:w="0" w:type="auto"/>
            <w:vAlign w:val="bottom"/>
          </w:tcPr>
          <w:p w:rsidR="00BD20DA" w:rsidRPr="00BD20DA" w:rsidRDefault="00BD20DA" w:rsidP="00BD20DA">
            <w:pPr>
              <w:overflowPunct w:val="0"/>
              <w:autoSpaceDE w:val="0"/>
              <w:autoSpaceDN w:val="0"/>
              <w:adjustRightInd w:val="0"/>
              <w:spacing w:after="120" w:line="240" w:lineRule="auto"/>
              <w:jc w:val="center"/>
              <w:textAlignment w:val="baseline"/>
              <w:rPr>
                <w:rFonts w:ascii="Lucida Sans" w:eastAsia="Times New Roman" w:hAnsi="Lucida Sans" w:cs="Times New Roman"/>
              </w:rPr>
            </w:pPr>
            <w:r w:rsidRPr="00BD20DA">
              <w:rPr>
                <w:rFonts w:ascii="Lucida Sans" w:eastAsia="Times New Roman" w:hAnsi="Lucida Sans" w:cs="Times New Roman"/>
              </w:rPr>
              <w:t>50000</w:t>
            </w:r>
          </w:p>
        </w:tc>
      </w:tr>
    </w:tbl>
    <w:p w:rsidR="00BD20DA" w:rsidRPr="00BD20DA" w:rsidRDefault="00BD20DA" w:rsidP="00BD20DA">
      <w:pPr>
        <w:overflowPunct w:val="0"/>
        <w:autoSpaceDE w:val="0"/>
        <w:autoSpaceDN w:val="0"/>
        <w:adjustRightInd w:val="0"/>
        <w:spacing w:after="120" w:line="240" w:lineRule="auto"/>
        <w:textAlignment w:val="baseline"/>
        <w:rPr>
          <w:rFonts w:ascii="Lucida Sans" w:eastAsia="Times New Roman" w:hAnsi="Lucida Sans" w:cs="Times New Roman"/>
        </w:rPr>
      </w:pPr>
    </w:p>
    <w:p w:rsidR="00BD20DA" w:rsidRPr="00BD20DA" w:rsidRDefault="00BD20DA" w:rsidP="00E44D86">
      <w:pPr>
        <w:spacing w:after="120" w:line="360" w:lineRule="auto"/>
        <w:rPr>
          <w:rFonts w:ascii="Arial" w:hAnsi="Arial" w:cs="Arial"/>
          <w:sz w:val="24"/>
          <w:szCs w:val="24"/>
        </w:rPr>
      </w:pPr>
    </w:p>
    <w:p w:rsidR="00BD20DA" w:rsidRPr="00BD20DA" w:rsidRDefault="00BD20DA" w:rsidP="00E44D86">
      <w:pPr>
        <w:spacing w:after="120" w:line="360" w:lineRule="auto"/>
        <w:rPr>
          <w:rFonts w:ascii="Arial" w:hAnsi="Arial" w:cs="Arial"/>
        </w:rPr>
      </w:pPr>
    </w:p>
    <w:sectPr w:rsidR="00BD20DA" w:rsidRPr="00BD2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86"/>
    <w:rsid w:val="007F48C8"/>
    <w:rsid w:val="00AA32D6"/>
    <w:rsid w:val="00BD20DA"/>
    <w:rsid w:val="00D95B95"/>
    <w:rsid w:val="00DC0329"/>
    <w:rsid w:val="00DC2B13"/>
    <w:rsid w:val="00E4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bajwah</dc:creator>
  <cp:lastModifiedBy>bajwah</cp:lastModifiedBy>
  <cp:revision>7</cp:revision>
  <dcterms:created xsi:type="dcterms:W3CDTF">2015-08-08T03:57:00Z</dcterms:created>
  <dcterms:modified xsi:type="dcterms:W3CDTF">2015-08-08T04:13:00Z</dcterms:modified>
</cp:coreProperties>
</file>